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04DACFB5"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AB6AAB">
        <w:rPr>
          <w:noProof w:val="0"/>
          <w:sz w:val="24"/>
          <w:szCs w:val="24"/>
        </w:rPr>
        <w:t>5</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7F2676">
        <w:rPr>
          <w:bCs/>
          <w:noProof w:val="0"/>
          <w:sz w:val="24"/>
          <w:szCs w:val="24"/>
        </w:rPr>
        <w:t>2</w:t>
      </w:r>
      <w:r w:rsidR="00946F0F">
        <w:rPr>
          <w:bCs/>
          <w:noProof w:val="0"/>
          <w:sz w:val="24"/>
          <w:szCs w:val="24"/>
        </w:rPr>
        <w:t>1865</w:t>
      </w:r>
    </w:p>
    <w:p w14:paraId="1822B173" w14:textId="0BD46A51"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AB6AAB">
        <w:rPr>
          <w:rFonts w:cs="Arial"/>
          <w:sz w:val="24"/>
          <w:szCs w:val="24"/>
        </w:rPr>
        <w:t>21 February</w:t>
      </w:r>
      <w:r w:rsidR="00AB6AAB" w:rsidRPr="00102718">
        <w:rPr>
          <w:rFonts w:cs="Arial"/>
          <w:sz w:val="24"/>
          <w:szCs w:val="24"/>
        </w:rPr>
        <w:t xml:space="preserve"> – </w:t>
      </w:r>
      <w:r w:rsidR="00AB6AAB">
        <w:rPr>
          <w:rFonts w:cs="Arial"/>
          <w:sz w:val="24"/>
          <w:szCs w:val="24"/>
        </w:rPr>
        <w:t>3</w:t>
      </w:r>
      <w:r w:rsidR="00AB6AAB" w:rsidRPr="00102718">
        <w:rPr>
          <w:rFonts w:cs="Arial"/>
          <w:sz w:val="24"/>
          <w:szCs w:val="24"/>
        </w:rPr>
        <w:t xml:space="preserve"> </w:t>
      </w:r>
      <w:r w:rsidR="00AB6AAB">
        <w:rPr>
          <w:rFonts w:cs="Arial"/>
          <w:sz w:val="24"/>
          <w:szCs w:val="24"/>
        </w:rPr>
        <w:t>March</w:t>
      </w:r>
      <w:r w:rsidR="007F2676" w:rsidRPr="000804F0">
        <w:rPr>
          <w:rFonts w:cs="Arial"/>
          <w:sz w:val="24"/>
          <w:szCs w:val="24"/>
          <w:lang w:val="en-US"/>
        </w:rPr>
        <w:t>, 202</w:t>
      </w:r>
      <w:r w:rsidR="007F2676">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0EDBB156"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27C29">
        <w:rPr>
          <w:rFonts w:cs="Arial"/>
          <w:b/>
          <w:bCs/>
          <w:sz w:val="24"/>
          <w:lang w:val="en-US" w:eastAsia="ja-JP"/>
        </w:rPr>
        <w:t>15.</w:t>
      </w:r>
      <w:r w:rsidR="00B56109">
        <w:rPr>
          <w:rFonts w:cs="Arial"/>
          <w:b/>
          <w:bCs/>
          <w:sz w:val="24"/>
          <w:lang w:val="en-US" w:eastAsia="ja-JP"/>
        </w:rPr>
        <w:t>4</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7B735A3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27C29" w:rsidRPr="00B27C29">
        <w:rPr>
          <w:rFonts w:ascii="Arial" w:hAnsi="Arial" w:cs="Arial"/>
          <w:b/>
          <w:bCs/>
          <w:sz w:val="24"/>
        </w:rPr>
        <w:t xml:space="preserve">Remaining open points on </w:t>
      </w:r>
      <w:r w:rsidR="00B56109" w:rsidRPr="00B56109">
        <w:rPr>
          <w:rFonts w:ascii="Arial" w:hAnsi="Arial" w:cs="Arial"/>
          <w:b/>
          <w:bCs/>
          <w:sz w:val="24"/>
        </w:rPr>
        <w:t>QMC/MDT alignment</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6322DA1B" w:rsidR="00CD4C7B" w:rsidRDefault="00B27C29" w:rsidP="00CD4C7B">
      <w:r>
        <w:t xml:space="preserve">In this paper we provide a brief overview of open points for </w:t>
      </w:r>
      <w:r w:rsidR="00071FAA" w:rsidRPr="00071FAA">
        <w:t>QMC/MDT alignment</w:t>
      </w:r>
    </w:p>
    <w:p w14:paraId="479DA40B" w14:textId="77777777" w:rsidR="00CD4C7B" w:rsidRPr="006E13D1" w:rsidRDefault="00CD4C7B" w:rsidP="00CD4C7B">
      <w:pPr>
        <w:pStyle w:val="Heading1"/>
      </w:pPr>
      <w:r w:rsidRPr="006E13D1">
        <w:t>2</w:t>
      </w:r>
      <w:r w:rsidRPr="006E13D1">
        <w:tab/>
      </w:r>
      <w:r w:rsidR="00972FD7">
        <w:t>Discussion</w:t>
      </w:r>
    </w:p>
    <w:p w14:paraId="73BA1170" w14:textId="3D6E6D50" w:rsidR="00D15D22" w:rsidRDefault="00D15D22" w:rsidP="00D15D22">
      <w:pPr>
        <w:pStyle w:val="ListParagraph"/>
        <w:numPr>
          <w:ilvl w:val="0"/>
          <w:numId w:val="6"/>
        </w:numPr>
        <w:rPr>
          <w:lang w:val="en-US" w:eastAsia="zh-CN"/>
        </w:rPr>
      </w:pPr>
      <w:r>
        <w:rPr>
          <w:lang w:val="en-US" w:eastAsia="zh-CN"/>
        </w:rPr>
        <w:t>Whether any enhancements for MDT/QMC alignment in split architecture scenarios should be considered. (RP-213473)</w:t>
      </w:r>
    </w:p>
    <w:p w14:paraId="50646E67" w14:textId="4548FD63" w:rsidR="00D15D22" w:rsidRDefault="00D15D22" w:rsidP="00D15D22">
      <w:pPr>
        <w:pStyle w:val="ListParagraph"/>
        <w:ind w:left="780" w:firstLine="0"/>
        <w:rPr>
          <w:lang w:val="en-US" w:eastAsia="zh-CN"/>
        </w:rPr>
      </w:pPr>
    </w:p>
    <w:p w14:paraId="1C2DA1B9" w14:textId="43D7B533" w:rsidR="00D15D22" w:rsidRDefault="00D15D22" w:rsidP="00D15D22">
      <w:pPr>
        <w:pStyle w:val="ListParagraph"/>
        <w:ind w:left="780" w:firstLine="0"/>
        <w:rPr>
          <w:lang w:val="en-US" w:eastAsia="zh-CN"/>
        </w:rPr>
      </w:pPr>
      <w:r>
        <w:rPr>
          <w:lang w:val="en-US" w:eastAsia="zh-CN"/>
        </w:rPr>
        <w:t xml:space="preserve">Our view: One of the aspects of MDT/QMC alignment agreed at RAN3#114bis-e is to delay start of radio measurements in the UE requested as part of immediate MDT, until the QoE session starts in the UE. It seems reasonable to apply the same principle </w:t>
      </w:r>
      <w:r w:rsidR="00234EE6">
        <w:rPr>
          <w:lang w:val="en-US" w:eastAsia="zh-CN"/>
        </w:rPr>
        <w:t>for measurements collected from the gNB-DU and the gNB-CU-UP in order to avoid unnecessary measurements to be sent to the TCE.</w:t>
      </w:r>
    </w:p>
    <w:p w14:paraId="454F46A2" w14:textId="0D559E47" w:rsidR="00234EE6" w:rsidRDefault="00234EE6" w:rsidP="00D15D22">
      <w:pPr>
        <w:pStyle w:val="ListParagraph"/>
        <w:ind w:left="780" w:firstLine="0"/>
        <w:rPr>
          <w:lang w:val="en-US" w:eastAsia="zh-CN"/>
        </w:rPr>
      </w:pPr>
    </w:p>
    <w:p w14:paraId="28A5D313" w14:textId="51AD50BA" w:rsidR="00234EE6" w:rsidRDefault="00234EE6" w:rsidP="00D15D22">
      <w:pPr>
        <w:pStyle w:val="ListParagraph"/>
        <w:ind w:left="780" w:firstLine="0"/>
        <w:rPr>
          <w:b/>
          <w:bCs/>
          <w:lang w:val="en-US" w:eastAsia="zh-CN"/>
        </w:rPr>
      </w:pPr>
      <w:r w:rsidRPr="00234EE6">
        <w:rPr>
          <w:b/>
          <w:bCs/>
          <w:lang w:val="en-US" w:eastAsia="zh-CN"/>
        </w:rPr>
        <w:t>Proposal 1: Aligned MDT measurements from the gNB-DU</w:t>
      </w:r>
      <w:r>
        <w:rPr>
          <w:b/>
          <w:bCs/>
          <w:lang w:val="en-US" w:eastAsia="zh-CN"/>
        </w:rPr>
        <w:t xml:space="preserve"> and gNB-CU-UP</w:t>
      </w:r>
      <w:r w:rsidRPr="00234EE6">
        <w:rPr>
          <w:b/>
          <w:bCs/>
          <w:lang w:val="en-US" w:eastAsia="zh-CN"/>
        </w:rPr>
        <w:t xml:space="preserve"> are activated when the network has been notified that the QoE session has started in the UE.</w:t>
      </w:r>
    </w:p>
    <w:p w14:paraId="58554EE4" w14:textId="5BC073C4" w:rsidR="00234EE6" w:rsidRDefault="00234EE6" w:rsidP="00D15D22">
      <w:pPr>
        <w:pStyle w:val="ListParagraph"/>
        <w:ind w:left="780" w:firstLine="0"/>
        <w:rPr>
          <w:b/>
          <w:bCs/>
          <w:lang w:val="en-US" w:eastAsia="zh-CN"/>
        </w:rPr>
      </w:pPr>
    </w:p>
    <w:p w14:paraId="69DED59A" w14:textId="77777777" w:rsidR="00D15D22" w:rsidRDefault="00D15D22" w:rsidP="00D15D22">
      <w:pPr>
        <w:pStyle w:val="ListParagraph"/>
        <w:ind w:left="780" w:firstLine="0"/>
        <w:rPr>
          <w:lang w:val="en-US" w:eastAsia="zh-CN"/>
        </w:rPr>
      </w:pPr>
    </w:p>
    <w:p w14:paraId="443BF4EA" w14:textId="297EBEF7" w:rsidR="00D15D22" w:rsidRDefault="00D15D22" w:rsidP="00D15D22">
      <w:pPr>
        <w:pStyle w:val="ListParagraph"/>
        <w:numPr>
          <w:ilvl w:val="0"/>
          <w:numId w:val="6"/>
        </w:numPr>
        <w:rPr>
          <w:lang w:val="en-US" w:eastAsia="zh-CN"/>
        </w:rPr>
      </w:pPr>
      <w:r>
        <w:rPr>
          <w:lang w:val="en-US" w:eastAsia="zh-CN"/>
        </w:rPr>
        <w:t>FFS whether to support the alignment between s-based QoE and m-based MDT.</w:t>
      </w:r>
    </w:p>
    <w:p w14:paraId="4B1F8031" w14:textId="77777777" w:rsidR="00234EE6" w:rsidRDefault="00234EE6" w:rsidP="00234EE6">
      <w:pPr>
        <w:pStyle w:val="ListParagraph"/>
        <w:ind w:left="780" w:firstLine="0"/>
        <w:rPr>
          <w:lang w:val="en-US" w:eastAsia="zh-CN"/>
        </w:rPr>
      </w:pPr>
    </w:p>
    <w:p w14:paraId="7E70D6E7" w14:textId="6FB529C8" w:rsidR="00234EE6" w:rsidRDefault="00234EE6" w:rsidP="00234EE6">
      <w:pPr>
        <w:pStyle w:val="ListParagraph"/>
        <w:ind w:left="780" w:firstLine="0"/>
        <w:rPr>
          <w:lang w:val="en-US" w:eastAsia="zh-CN"/>
        </w:rPr>
      </w:pPr>
      <w:r>
        <w:rPr>
          <w:lang w:val="en-US" w:eastAsia="zh-CN"/>
        </w:rPr>
        <w:t>Our view: The first problem is that alignment with m-based MDT comes with the drawback that m-based MDT is not propagated in case of inter-node handover. The second problem is that the legacy mechanism for selection of UEs for m-based MDT could not be used, i.e. the network will have to select the UE that uses s-based QoE also for m-based MDT. This means that such alignment mechanism will have impact on legacy MDT specification which should be avoided.</w:t>
      </w:r>
    </w:p>
    <w:p w14:paraId="1410DB8A" w14:textId="65C2F69A" w:rsidR="00234EE6" w:rsidRDefault="00234EE6" w:rsidP="00234EE6">
      <w:pPr>
        <w:pStyle w:val="ListParagraph"/>
        <w:ind w:left="780" w:firstLine="0"/>
        <w:rPr>
          <w:lang w:val="en-US" w:eastAsia="zh-CN"/>
        </w:rPr>
      </w:pPr>
    </w:p>
    <w:p w14:paraId="037B5800" w14:textId="02B5D726" w:rsidR="00234EE6" w:rsidRPr="00234EE6" w:rsidRDefault="00234EE6" w:rsidP="00234EE6">
      <w:pPr>
        <w:pStyle w:val="ListParagraph"/>
        <w:ind w:left="780" w:firstLine="0"/>
        <w:rPr>
          <w:b/>
          <w:bCs/>
          <w:lang w:val="en-US" w:eastAsia="zh-CN"/>
        </w:rPr>
      </w:pPr>
      <w:r w:rsidRPr="00234EE6">
        <w:rPr>
          <w:b/>
          <w:bCs/>
          <w:lang w:val="en-US" w:eastAsia="zh-CN"/>
        </w:rPr>
        <w:t>Proposal 2: Alignment between s-based QoE and m-based MDT is not supported.</w:t>
      </w:r>
    </w:p>
    <w:p w14:paraId="4BEC1D0F" w14:textId="77777777" w:rsidR="00234EE6" w:rsidRDefault="00234EE6" w:rsidP="00234EE6">
      <w:pPr>
        <w:pStyle w:val="ListParagraph"/>
        <w:ind w:left="780" w:firstLine="0"/>
        <w:rPr>
          <w:lang w:val="en-US" w:eastAsia="zh-CN"/>
        </w:rPr>
      </w:pPr>
    </w:p>
    <w:p w14:paraId="4B2F9F55" w14:textId="150B745F" w:rsidR="00D15D22" w:rsidRDefault="00D15D22" w:rsidP="00D15D22">
      <w:pPr>
        <w:pStyle w:val="ListParagraph"/>
        <w:numPr>
          <w:ilvl w:val="0"/>
          <w:numId w:val="6"/>
        </w:numPr>
        <w:rPr>
          <w:lang w:val="en-US" w:eastAsia="zh-CN"/>
        </w:rPr>
      </w:pPr>
      <w:r>
        <w:rPr>
          <w:lang w:val="en-US" w:eastAsia="zh-CN"/>
        </w:rPr>
        <w:t xml:space="preserve">FFS whether to support the scenario where QoE measurement session span across multiple gNBs configured with m-based MDT with different Trace Reference. </w:t>
      </w:r>
    </w:p>
    <w:p w14:paraId="737C1064" w14:textId="798DBFCA" w:rsidR="00234EE6" w:rsidRDefault="00234EE6" w:rsidP="00234EE6">
      <w:pPr>
        <w:pStyle w:val="ListParagraph"/>
        <w:ind w:left="780" w:firstLine="0"/>
        <w:rPr>
          <w:lang w:val="en-US" w:eastAsia="zh-CN"/>
        </w:rPr>
      </w:pPr>
    </w:p>
    <w:p w14:paraId="4E03A523" w14:textId="61C5FFFE" w:rsidR="00234EE6" w:rsidRDefault="00234EE6" w:rsidP="00234EE6">
      <w:pPr>
        <w:pStyle w:val="ListParagraph"/>
        <w:ind w:left="780" w:firstLine="0"/>
        <w:rPr>
          <w:rFonts w:ascii="Times New Roman" w:hAnsi="Times New Roman"/>
          <w:sz w:val="20"/>
          <w:lang w:val="en-GB"/>
        </w:rPr>
      </w:pPr>
      <w:r w:rsidRPr="004B5C5D">
        <w:rPr>
          <w:rFonts w:ascii="Times New Roman" w:hAnsi="Times New Roman"/>
          <w:sz w:val="20"/>
          <w:lang w:val="en-GB"/>
        </w:rPr>
        <w:t xml:space="preserve">Our view: </w:t>
      </w:r>
      <w:r w:rsidR="004B5C5D" w:rsidRPr="004B5C5D">
        <w:rPr>
          <w:rFonts w:ascii="Times New Roman" w:hAnsi="Times New Roman"/>
          <w:sz w:val="20"/>
          <w:lang w:val="en-GB"/>
        </w:rPr>
        <w:t>Support of such scenario would require the OAM system to provide a</w:t>
      </w:r>
      <w:r w:rsidR="004B5C5D">
        <w:rPr>
          <w:rFonts w:ascii="Times New Roman" w:hAnsi="Times New Roman"/>
          <w:sz w:val="20"/>
          <w:lang w:val="en-GB"/>
        </w:rPr>
        <w:t xml:space="preserve"> list containing a TR for each gNB the UE could potentially visit</w:t>
      </w:r>
      <w:r w:rsidR="004B5C5D" w:rsidRPr="00AF12B9">
        <w:rPr>
          <w:rFonts w:ascii="Times New Roman" w:hAnsi="Times New Roman"/>
          <w:sz w:val="20"/>
          <w:lang w:val="en-GB"/>
        </w:rPr>
        <w:t>.</w:t>
      </w:r>
      <w:r w:rsidR="004B5C5D">
        <w:rPr>
          <w:rFonts w:ascii="Times New Roman" w:hAnsi="Times New Roman"/>
          <w:sz w:val="20"/>
          <w:lang w:val="en-GB"/>
        </w:rPr>
        <w:t xml:space="preserve"> The entity constructing this list would therefore need extensive information about gNB adjacencies, and the list could also become very long. We therefore believe this is not the good direction to take. </w:t>
      </w:r>
      <w:r w:rsidR="004B5C5D" w:rsidRPr="004B5C5D">
        <w:rPr>
          <w:rFonts w:ascii="Times New Roman" w:hAnsi="Times New Roman"/>
          <w:sz w:val="20"/>
          <w:lang w:val="en-GB"/>
        </w:rPr>
        <w:t>A reasonable compromise can be that QMC/MDT alignment for m-based MDT is supported for intra-node operation.</w:t>
      </w:r>
    </w:p>
    <w:p w14:paraId="7322C32E" w14:textId="04D22FBB" w:rsidR="004B5C5D" w:rsidRDefault="004B5C5D" w:rsidP="00234EE6">
      <w:pPr>
        <w:pStyle w:val="ListParagraph"/>
        <w:ind w:left="780" w:firstLine="0"/>
        <w:rPr>
          <w:rFonts w:ascii="Times New Roman" w:hAnsi="Times New Roman"/>
          <w:sz w:val="20"/>
          <w:lang w:val="en-GB"/>
        </w:rPr>
      </w:pPr>
    </w:p>
    <w:p w14:paraId="70B12CB3" w14:textId="7C96F7E7" w:rsidR="004B5C5D" w:rsidRPr="004B5C5D" w:rsidRDefault="004B5C5D" w:rsidP="00234EE6">
      <w:pPr>
        <w:pStyle w:val="ListParagraph"/>
        <w:ind w:left="780" w:firstLine="0"/>
        <w:rPr>
          <w:b/>
          <w:bCs/>
          <w:lang w:val="en-US" w:eastAsia="zh-CN"/>
        </w:rPr>
      </w:pPr>
      <w:r w:rsidRPr="004B5C5D">
        <w:rPr>
          <w:b/>
          <w:bCs/>
          <w:lang w:val="en-US" w:eastAsia="zh-CN"/>
        </w:rPr>
        <w:t>Proposal 3: QMC/MDT alignment for m-based MDT is supported for intra-node operation.</w:t>
      </w:r>
    </w:p>
    <w:p w14:paraId="7F3A5362" w14:textId="77777777" w:rsidR="004B5C5D" w:rsidRDefault="004B5C5D" w:rsidP="00234EE6">
      <w:pPr>
        <w:pStyle w:val="ListParagraph"/>
        <w:ind w:left="780" w:firstLine="0"/>
        <w:rPr>
          <w:rFonts w:ascii="Times New Roman" w:hAnsi="Times New Roman"/>
          <w:sz w:val="20"/>
          <w:lang w:val="en-GB"/>
        </w:rPr>
      </w:pPr>
    </w:p>
    <w:p w14:paraId="0D110258" w14:textId="77777777" w:rsidR="00CD4C7B" w:rsidRPr="006E13D1" w:rsidRDefault="00972FD7" w:rsidP="00CD4C7B">
      <w:pPr>
        <w:pStyle w:val="Heading1"/>
      </w:pPr>
      <w:r>
        <w:lastRenderedPageBreak/>
        <w:t>3</w:t>
      </w:r>
      <w:r w:rsidR="00CD4C7B" w:rsidRPr="006E13D1">
        <w:tab/>
      </w:r>
      <w:r>
        <w:t>Conclusion</w:t>
      </w:r>
    </w:p>
    <w:p w14:paraId="090ACA75" w14:textId="77777777" w:rsidR="004B5C5D" w:rsidRDefault="004B5C5D" w:rsidP="004B5C5D">
      <w:pPr>
        <w:pStyle w:val="ListParagraph"/>
        <w:ind w:left="780" w:firstLine="0"/>
        <w:rPr>
          <w:b/>
          <w:bCs/>
          <w:lang w:val="en-US" w:eastAsia="zh-CN"/>
        </w:rPr>
      </w:pPr>
      <w:r w:rsidRPr="00234EE6">
        <w:rPr>
          <w:b/>
          <w:bCs/>
          <w:lang w:val="en-US" w:eastAsia="zh-CN"/>
        </w:rPr>
        <w:t>Proposal 1: Aligned MDT measurements from the gNB-DU</w:t>
      </w:r>
      <w:r>
        <w:rPr>
          <w:b/>
          <w:bCs/>
          <w:lang w:val="en-US" w:eastAsia="zh-CN"/>
        </w:rPr>
        <w:t xml:space="preserve"> and gNB-CU-UP</w:t>
      </w:r>
      <w:r w:rsidRPr="00234EE6">
        <w:rPr>
          <w:b/>
          <w:bCs/>
          <w:lang w:val="en-US" w:eastAsia="zh-CN"/>
        </w:rPr>
        <w:t xml:space="preserve"> are activated when the network has been notified that the QoE session has started in the UE.</w:t>
      </w:r>
    </w:p>
    <w:p w14:paraId="04EE9B71" w14:textId="1E3A547C" w:rsidR="004B5C5D" w:rsidRDefault="004B5C5D" w:rsidP="00016F5F">
      <w:pPr>
        <w:pStyle w:val="ListParagraph"/>
        <w:ind w:left="780" w:firstLine="0"/>
        <w:rPr>
          <w:b/>
          <w:bCs/>
          <w:lang w:val="en-US" w:eastAsia="zh-CN"/>
        </w:rPr>
      </w:pPr>
    </w:p>
    <w:p w14:paraId="79CC7253" w14:textId="77777777" w:rsidR="004B5C5D" w:rsidRPr="00234EE6" w:rsidRDefault="004B5C5D" w:rsidP="004B5C5D">
      <w:pPr>
        <w:pStyle w:val="ListParagraph"/>
        <w:ind w:left="780" w:firstLine="0"/>
        <w:rPr>
          <w:b/>
          <w:bCs/>
          <w:lang w:val="en-US" w:eastAsia="zh-CN"/>
        </w:rPr>
      </w:pPr>
      <w:r w:rsidRPr="00234EE6">
        <w:rPr>
          <w:b/>
          <w:bCs/>
          <w:lang w:val="en-US" w:eastAsia="zh-CN"/>
        </w:rPr>
        <w:t>Proposal 2: Alignment between s-based QoE and m-based MDT is not supported.</w:t>
      </w:r>
    </w:p>
    <w:p w14:paraId="3EC7DAB9" w14:textId="04065AD8" w:rsidR="004B5C5D" w:rsidRDefault="004B5C5D" w:rsidP="00016F5F">
      <w:pPr>
        <w:pStyle w:val="ListParagraph"/>
        <w:ind w:left="780" w:firstLine="0"/>
        <w:rPr>
          <w:b/>
          <w:bCs/>
          <w:lang w:val="en-US" w:eastAsia="zh-CN"/>
        </w:rPr>
      </w:pPr>
    </w:p>
    <w:p w14:paraId="68399114" w14:textId="77777777" w:rsidR="004B5C5D" w:rsidRPr="004B5C5D" w:rsidRDefault="004B5C5D" w:rsidP="004B5C5D">
      <w:pPr>
        <w:pStyle w:val="ListParagraph"/>
        <w:ind w:left="780" w:firstLine="0"/>
        <w:rPr>
          <w:b/>
          <w:bCs/>
          <w:lang w:val="en-US" w:eastAsia="zh-CN"/>
        </w:rPr>
      </w:pPr>
      <w:r w:rsidRPr="004B5C5D">
        <w:rPr>
          <w:b/>
          <w:bCs/>
          <w:lang w:val="en-US" w:eastAsia="zh-CN"/>
        </w:rPr>
        <w:t>Proposal 3: QMC/MDT alignment for m-based MDT is supported for intra-node operation.</w:t>
      </w:r>
    </w:p>
    <w:p w14:paraId="02D7B989" w14:textId="77777777" w:rsidR="004B5C5D" w:rsidRPr="00016F5F" w:rsidRDefault="004B5C5D" w:rsidP="00016F5F">
      <w:pPr>
        <w:pStyle w:val="ListParagraph"/>
        <w:ind w:left="780" w:firstLine="0"/>
        <w:rPr>
          <w:b/>
          <w:bCs/>
          <w:lang w:val="en-US" w:eastAsia="zh-CN"/>
        </w:rPr>
      </w:pPr>
    </w:p>
    <w:p w14:paraId="631CA1BA" w14:textId="77777777" w:rsidR="00016F5F" w:rsidRPr="00C57FA0" w:rsidRDefault="00016F5F" w:rsidP="00016F5F">
      <w:pPr>
        <w:pStyle w:val="ListParagraph"/>
        <w:ind w:left="780" w:firstLine="0"/>
        <w:rPr>
          <w:b/>
          <w:bCs/>
          <w:lang w:val="en-US" w:eastAsia="zh-CN"/>
        </w:rPr>
      </w:pPr>
    </w:p>
    <w:sectPr w:rsidR="00016F5F" w:rsidRPr="00C57FA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DD852E" w14:textId="77777777" w:rsidR="0026344E" w:rsidRDefault="0026344E">
      <w:r>
        <w:separator/>
      </w:r>
    </w:p>
  </w:endnote>
  <w:endnote w:type="continuationSeparator" w:id="0">
    <w:p w14:paraId="7347A0EC" w14:textId="77777777" w:rsidR="0026344E" w:rsidRDefault="00263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530BC" w14:textId="77777777" w:rsidR="0026344E" w:rsidRDefault="0026344E">
      <w:r>
        <w:separator/>
      </w:r>
    </w:p>
  </w:footnote>
  <w:footnote w:type="continuationSeparator" w:id="0">
    <w:p w14:paraId="53116DED" w14:textId="77777777" w:rsidR="0026344E" w:rsidRDefault="00263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371199D"/>
    <w:multiLevelType w:val="hybridMultilevel"/>
    <w:tmpl w:val="BFCEF9F4"/>
    <w:lvl w:ilvl="0" w:tplc="7172B0CA">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4" w15:restartNumberingAfterBreak="0">
    <w:nsid w:val="50E51508"/>
    <w:multiLevelType w:val="hybridMultilevel"/>
    <w:tmpl w:val="BFCEF9F4"/>
    <w:lvl w:ilvl="0" w:tplc="7172B0CA">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16F5F"/>
    <w:rsid w:val="00033397"/>
    <w:rsid w:val="000342C7"/>
    <w:rsid w:val="00040095"/>
    <w:rsid w:val="00045592"/>
    <w:rsid w:val="0005563E"/>
    <w:rsid w:val="00071FAA"/>
    <w:rsid w:val="00080512"/>
    <w:rsid w:val="00083F0D"/>
    <w:rsid w:val="000A2C32"/>
    <w:rsid w:val="000B7BCF"/>
    <w:rsid w:val="000C556D"/>
    <w:rsid w:val="000D376D"/>
    <w:rsid w:val="000D58AB"/>
    <w:rsid w:val="001075B7"/>
    <w:rsid w:val="001370F2"/>
    <w:rsid w:val="001549DD"/>
    <w:rsid w:val="00194CD0"/>
    <w:rsid w:val="001B08B3"/>
    <w:rsid w:val="001C349E"/>
    <w:rsid w:val="001C4281"/>
    <w:rsid w:val="001D0D3F"/>
    <w:rsid w:val="001E39D1"/>
    <w:rsid w:val="001F168B"/>
    <w:rsid w:val="001F70B7"/>
    <w:rsid w:val="00225F6D"/>
    <w:rsid w:val="0022606D"/>
    <w:rsid w:val="002305DD"/>
    <w:rsid w:val="00234EE6"/>
    <w:rsid w:val="00243BC7"/>
    <w:rsid w:val="002623FC"/>
    <w:rsid w:val="0026344E"/>
    <w:rsid w:val="002747EC"/>
    <w:rsid w:val="002855BF"/>
    <w:rsid w:val="002953B2"/>
    <w:rsid w:val="002E1692"/>
    <w:rsid w:val="002F0D22"/>
    <w:rsid w:val="00305C7A"/>
    <w:rsid w:val="003172DC"/>
    <w:rsid w:val="00326069"/>
    <w:rsid w:val="003454FC"/>
    <w:rsid w:val="0035462D"/>
    <w:rsid w:val="00363177"/>
    <w:rsid w:val="003702F7"/>
    <w:rsid w:val="003B3FB3"/>
    <w:rsid w:val="003C4E37"/>
    <w:rsid w:val="003E1194"/>
    <w:rsid w:val="003E16BE"/>
    <w:rsid w:val="003E7223"/>
    <w:rsid w:val="00401855"/>
    <w:rsid w:val="00441E94"/>
    <w:rsid w:val="00464695"/>
    <w:rsid w:val="004B28D7"/>
    <w:rsid w:val="004B5C5D"/>
    <w:rsid w:val="004C5539"/>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50AE2"/>
    <w:rsid w:val="00565087"/>
    <w:rsid w:val="0056573F"/>
    <w:rsid w:val="00565BE9"/>
    <w:rsid w:val="00571CE2"/>
    <w:rsid w:val="005A4971"/>
    <w:rsid w:val="005B1232"/>
    <w:rsid w:val="005B2EEF"/>
    <w:rsid w:val="005D4274"/>
    <w:rsid w:val="00605E3E"/>
    <w:rsid w:val="00606DA9"/>
    <w:rsid w:val="00611566"/>
    <w:rsid w:val="00656E1E"/>
    <w:rsid w:val="006604E4"/>
    <w:rsid w:val="006C54B5"/>
    <w:rsid w:val="006D1E24"/>
    <w:rsid w:val="006F0AF6"/>
    <w:rsid w:val="00702BDF"/>
    <w:rsid w:val="00734A5B"/>
    <w:rsid w:val="00741EC5"/>
    <w:rsid w:val="00743525"/>
    <w:rsid w:val="00744E76"/>
    <w:rsid w:val="007476DB"/>
    <w:rsid w:val="00757D40"/>
    <w:rsid w:val="00774846"/>
    <w:rsid w:val="00781F0F"/>
    <w:rsid w:val="0078727C"/>
    <w:rsid w:val="00797D4B"/>
    <w:rsid w:val="007C095F"/>
    <w:rsid w:val="007D5902"/>
    <w:rsid w:val="007F2676"/>
    <w:rsid w:val="00802106"/>
    <w:rsid w:val="008028A4"/>
    <w:rsid w:val="00806520"/>
    <w:rsid w:val="00830106"/>
    <w:rsid w:val="00840916"/>
    <w:rsid w:val="00853EDD"/>
    <w:rsid w:val="008604EE"/>
    <w:rsid w:val="0087401D"/>
    <w:rsid w:val="008768CA"/>
    <w:rsid w:val="00880559"/>
    <w:rsid w:val="00885156"/>
    <w:rsid w:val="008C2835"/>
    <w:rsid w:val="008C490B"/>
    <w:rsid w:val="0090271F"/>
    <w:rsid w:val="00903D8C"/>
    <w:rsid w:val="00942EC2"/>
    <w:rsid w:val="00946F0F"/>
    <w:rsid w:val="00954BCB"/>
    <w:rsid w:val="00961B32"/>
    <w:rsid w:val="00971683"/>
    <w:rsid w:val="00972FD7"/>
    <w:rsid w:val="00974BB0"/>
    <w:rsid w:val="009A6E4F"/>
    <w:rsid w:val="009C4D5C"/>
    <w:rsid w:val="009D0A28"/>
    <w:rsid w:val="009E473F"/>
    <w:rsid w:val="009F3B54"/>
    <w:rsid w:val="009F7E6E"/>
    <w:rsid w:val="00A10F02"/>
    <w:rsid w:val="00A53724"/>
    <w:rsid w:val="00A82346"/>
    <w:rsid w:val="00A8361A"/>
    <w:rsid w:val="00A9671C"/>
    <w:rsid w:val="00AB6AAB"/>
    <w:rsid w:val="00AD4BCF"/>
    <w:rsid w:val="00AF4A8E"/>
    <w:rsid w:val="00AF78D5"/>
    <w:rsid w:val="00B1063A"/>
    <w:rsid w:val="00B15449"/>
    <w:rsid w:val="00B27C29"/>
    <w:rsid w:val="00B56109"/>
    <w:rsid w:val="00B9781E"/>
    <w:rsid w:val="00BF79F1"/>
    <w:rsid w:val="00C03035"/>
    <w:rsid w:val="00C275BC"/>
    <w:rsid w:val="00C33079"/>
    <w:rsid w:val="00C365F1"/>
    <w:rsid w:val="00C43B31"/>
    <w:rsid w:val="00C50536"/>
    <w:rsid w:val="00C55EB7"/>
    <w:rsid w:val="00C57FA0"/>
    <w:rsid w:val="00CA3D0C"/>
    <w:rsid w:val="00CB6651"/>
    <w:rsid w:val="00CB6887"/>
    <w:rsid w:val="00CD4C7B"/>
    <w:rsid w:val="00D15D22"/>
    <w:rsid w:val="00D22038"/>
    <w:rsid w:val="00D45717"/>
    <w:rsid w:val="00D738D6"/>
    <w:rsid w:val="00D80795"/>
    <w:rsid w:val="00D87E00"/>
    <w:rsid w:val="00D908B4"/>
    <w:rsid w:val="00D9134D"/>
    <w:rsid w:val="00D97CD9"/>
    <w:rsid w:val="00DA7A03"/>
    <w:rsid w:val="00DB1818"/>
    <w:rsid w:val="00DC309B"/>
    <w:rsid w:val="00DC4DA2"/>
    <w:rsid w:val="00DE1406"/>
    <w:rsid w:val="00E07838"/>
    <w:rsid w:val="00E340BC"/>
    <w:rsid w:val="00E35B26"/>
    <w:rsid w:val="00E51F8B"/>
    <w:rsid w:val="00E62835"/>
    <w:rsid w:val="00E77645"/>
    <w:rsid w:val="00E852FF"/>
    <w:rsid w:val="00E90ABE"/>
    <w:rsid w:val="00EA1D56"/>
    <w:rsid w:val="00EA22F8"/>
    <w:rsid w:val="00EC4A25"/>
    <w:rsid w:val="00EE0A1E"/>
    <w:rsid w:val="00F025A2"/>
    <w:rsid w:val="00F2026E"/>
    <w:rsid w:val="00F2210A"/>
    <w:rsid w:val="00F30B70"/>
    <w:rsid w:val="00F37743"/>
    <w:rsid w:val="00F54A3D"/>
    <w:rsid w:val="00F653B8"/>
    <w:rsid w:val="00F731B2"/>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basedOn w:val="Normal"/>
    <w:uiPriority w:val="34"/>
    <w:qFormat/>
    <w:rsid w:val="00B27C29"/>
    <w:pPr>
      <w:spacing w:after="0"/>
      <w:ind w:firstLine="420"/>
      <w:jc w:val="both"/>
    </w:pPr>
    <w:rPr>
      <w:rFonts w:ascii="Calibri" w:eastAsia="Calibri" w:hAnsi="Calibri" w:cs="Calibri"/>
      <w:sz w:val="21"/>
      <w:szCs w:val="21"/>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3371048">
      <w:bodyDiv w:val="1"/>
      <w:marLeft w:val="0"/>
      <w:marRight w:val="0"/>
      <w:marTop w:val="0"/>
      <w:marBottom w:val="0"/>
      <w:divBdr>
        <w:top w:val="none" w:sz="0" w:space="0" w:color="auto"/>
        <w:left w:val="none" w:sz="0" w:space="0" w:color="auto"/>
        <w:bottom w:val="none" w:sz="0" w:space="0" w:color="auto"/>
        <w:right w:val="none" w:sz="0" w:space="0" w:color="auto"/>
      </w:divBdr>
    </w:div>
    <w:div w:id="142884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155</TotalTime>
  <Pages>2</Pages>
  <Words>404</Words>
  <Characters>2223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32</cp:revision>
  <dcterms:created xsi:type="dcterms:W3CDTF">2019-06-29T13:33:00Z</dcterms:created>
  <dcterms:modified xsi:type="dcterms:W3CDTF">2022-02-10T20:02:00Z</dcterms:modified>
</cp:coreProperties>
</file>